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color w:val="666666"/>
          <w:sz w:val="18"/>
          <w:szCs w:val="18"/>
        </w:rPr>
        <w:t xml:space="preserve">Working paper · July 2026</w:t>
      </w:r>
    </w:p>
    <w:p>
      <w:pPr>
        <w:spacing w:after="120"/>
        <w:jc w:val="center"/>
      </w:pPr>
      <w:r>
        <w:rPr>
          <w:b/>
          <w:bCs/>
          <w:sz w:val="44"/>
          <w:szCs w:val="44"/>
        </w:rPr>
        <w:t xml:space="preserve">The Self-Inflicted Wound</w:t>
      </w:r>
    </w:p>
    <w:p>
      <w:pPr>
        <w:spacing w:after="120"/>
        <w:jc w:val="center"/>
      </w:pPr>
      <w:r>
        <w:rPr>
          <w:i/>
          <w:iCs/>
          <w:sz w:val="24"/>
          <w:szCs w:val="24"/>
        </w:rPr>
        <w:t xml:space="preserve">South Africa's 2026 economic collapse and the African pattern of expelling the people who run the books.</w:t>
      </w:r>
    </w:p>
    <w:p>
      <w:pPr>
        <w:spacing w:after="400"/>
        <w:jc w:val="center"/>
      </w:pPr>
      <w:r>
        <w:rPr>
          <w:sz w:val="22"/>
          <w:szCs w:val="22"/>
        </w:rPr>
        <w:t xml:space="preserve">By Simon Mowatt</w:t>
      </w:r>
    </w:p>
    <w:p>
      <w:pPr>
        <w:pStyle w:val="Heading1"/>
        <w:spacing w:after="160" w:before="320"/>
      </w:pPr>
      <w:r>
        <w:rPr>
          <w:b/>
          <w:bCs/>
          <w:sz w:val="32"/>
          <w:szCs w:val="32"/>
        </w:rPr>
        <w:t xml:space="preserve">Abstract</w:t>
      </w:r>
    </w:p>
    <w:p>
      <w:pPr>
        <w:spacing w:after="160" w:line="320"/>
        <w:jc w:val="both"/>
      </w:pPr>
      <w:r>
        <w:t xml:space="preserve">This paper argues that South Africa's 2026 fiscal and currency crisis is not a random accident of commodity cycles or global rates. It is the predictable outcome of a policy trajectory — accelerated expropriation without compensation, the hollowing-out of the South African Revenue Service (SARS), the driving-out of skilled tax administrators, auditors, engineers and business owners (many of them of minority background), and a governing coalition that has, at multiple points, openly framed capable minorities and foreign-owned businesses as the problem rather than the tax base. The paper places this in the African precedent set by Idi Amin's expulsion of Ugandan Asians in 1972, Zimbabwe's Fast-Track Land Reform of 2000–2008, and the post-independence flight from Mozambique and Angola. It offers order-of-magnitude estimates for GDP contraction, currency depreciation and inflation, and discusses what recovery actually costs — economically and politically.</w:t>
      </w:r>
    </w:p>
    <w:p>
      <w:pPr>
        <w:pStyle w:val="Heading1"/>
        <w:spacing w:after="160" w:before="320"/>
      </w:pPr>
      <w:r>
        <w:rPr>
          <w:b/>
          <w:bCs/>
          <w:sz w:val="32"/>
          <w:szCs w:val="32"/>
        </w:rPr>
        <w:t xml:space="preserve">1. Thesis</w:t>
      </w:r>
    </w:p>
    <w:p>
      <w:pPr>
        <w:spacing w:after="160" w:line="320"/>
        <w:jc w:val="both"/>
      </w:pPr>
      <w:r>
        <w:t xml:space="preserve">Every generation, somewhere on the African continent, a governing class discovers that the people who quietly keep the lights on — the tax collectors, the plant managers, the freight forwarders, the underwriters, the shopkeepers who actually issue VAT invoices — are politically inconvenient. They are the wrong tribe, the wrong colour, the wrong passport, or simply the wrong reminder that the state alone cannot generate wealth. And every time a government has acted on that impulse — in Kampala in 1972, in Harare in 2000, in Luanda and Maputo in the mid-1970s — the economy has collapsed within a decade, sometimes within eighteen months.</w:t>
      </w:r>
    </w:p>
    <w:p>
      <w:pPr>
        <w:spacing w:after="160" w:line="320"/>
        <w:jc w:val="both"/>
      </w:pPr>
      <w:r>
        <w:t xml:space="preserve">South Africa in 2026 is running this experiment again, in slow motion, with better PR. The instruments are different — no dramatic 90-day expulsion decree — but the mechanism is identical: the state is systematically removing, demoralising or expropriating the specific human capital that operates the machinery of a modern tax-funded economy, while blaming that same human capital for the country's stagnation. The result will be the same. This paper is an attempt to say so plainly, and to estimate the numbers before they arrive.</w:t>
      </w:r>
    </w:p>
    <w:p>
      <w:pPr>
        <w:pStyle w:val="Heading1"/>
        <w:spacing w:after="160" w:before="320"/>
      </w:pPr>
      <w:r>
        <w:rPr>
          <w:b/>
          <w:bCs/>
          <w:sz w:val="32"/>
          <w:szCs w:val="32"/>
        </w:rPr>
        <w:t xml:space="preserve">2. The African Pattern</w:t>
      </w:r>
    </w:p>
    <w:p>
      <w:pPr>
        <w:pStyle w:val="Heading2"/>
        <w:spacing w:after="120" w:before="240"/>
      </w:pPr>
      <w:r>
        <w:rPr>
          <w:b/>
          <w:bCs/>
          <w:sz w:val="26"/>
          <w:szCs w:val="26"/>
        </w:rPr>
        <w:t xml:space="preserve">2.1 Uganda, 1972</w:t>
      </w:r>
    </w:p>
    <w:p>
      <w:pPr>
        <w:spacing w:after="160" w:line="320"/>
        <w:jc w:val="both"/>
      </w:pPr>
      <w:r>
        <w:t xml:space="preserve">In August 1972, Idi Amin gave roughly 80,000 Ugandan Asians ninety days to leave the country. They controlled, at the time, an estimated 90% of Uganda's commerce and were the backbone of its tax base. Within twenty-four months, GDP had contracted by more than 20% in real terms, industrial output had halved, and the Uganda shilling had lost most of its purchasing power on the parallel market. By 1987 Uganda was experiencing annual inflation above 200%. The businesses Amin handed to loyalists (“mafutamingi” — the greasy ones) were, within a year, mostly bankrupt. The lesson was not that Asians were magic. The lesson was that running a wholesale distribution business, or an insurance book, or a cotton ginnery, requires accumulated skill, working capital, and trust networks that cannot be transferred by decree.</w:t>
      </w:r>
    </w:p>
    <w:p>
      <w:pPr>
        <w:pStyle w:val="Heading2"/>
        <w:spacing w:after="120" w:before="240"/>
      </w:pPr>
      <w:r>
        <w:rPr>
          <w:b/>
          <w:bCs/>
          <w:sz w:val="26"/>
          <w:szCs w:val="26"/>
        </w:rPr>
        <w:t xml:space="preserve">2.2 Zimbabwe, 2000–2008</w:t>
      </w:r>
    </w:p>
    <w:p>
      <w:pPr>
        <w:spacing w:after="160" w:line="320"/>
        <w:jc w:val="both"/>
      </w:pPr>
      <w:r>
        <w:t xml:space="preserve">The Fast-Track Land Reform Programme did not merely redistribute farms. It destroyed the collateral base of the entire Zimbabwean banking system, because the title deeds on those farms were what secured most commercial credit in the country. When the farms went, the loans went. When the loans went, the tax base went. When the tax base went, the Reserve Bank was ordered to print. Inflation moved from 55% in 2000 to an official peak of 89.7 sextillion percent (89.7 × 10²¹) in November 2008. Real GDP contracted by roughly 45% between 2000 and 2008. A country that had been a net food exporter became dependent on food aid. Crucially, the professional class — white, Indian and Black — emigrated en masse. Zimbabwe today, more than fifteen years after dollarisation, has still not recovered its 1998 per-capita GDP.</w:t>
      </w:r>
    </w:p>
    <w:p>
      <w:pPr>
        <w:pStyle w:val="Heading2"/>
        <w:spacing w:after="120" w:before="240"/>
      </w:pPr>
      <w:r>
        <w:rPr>
          <w:b/>
          <w:bCs/>
          <w:sz w:val="26"/>
          <w:szCs w:val="26"/>
        </w:rPr>
        <w:t xml:space="preserve">2.3 Mozambique and Angola, 1975–1980</w:t>
      </w:r>
    </w:p>
    <w:p>
      <w:pPr>
        <w:spacing w:after="160" w:line="320"/>
        <w:jc w:val="both"/>
      </w:pPr>
      <w:r>
        <w:t xml:space="preserve">At independence, roughly 90% of the Portuguese settler population left Mozambique within eighteen months, and a similar share left Angola. They were not, in general, expelled by decree; they were pushed out by a mixture of nationalisations, revolutionary rhetoric, and physical insecurity. The result was identical to Uganda's: a collapse of the productive economy that the new governments blamed on sabotage and imperialism, but which was in fact the arithmetic consequence of removing everyone who knew how to run a sugar mill, a port, or a district hospital.</w:t>
      </w:r>
    </w:p>
    <w:p>
      <w:pPr>
        <w:pStyle w:val="Heading2"/>
        <w:spacing w:after="120" w:before="240"/>
      </w:pPr>
      <w:r>
        <w:rPr>
          <w:b/>
          <w:bCs/>
          <w:sz w:val="26"/>
          <w:szCs w:val="26"/>
        </w:rPr>
        <w:t xml:space="preserve">2.4 The common mechanism</w:t>
      </w:r>
    </w:p>
    <w:p>
      <w:pPr>
        <w:spacing w:after="160" w:line="320"/>
        <w:jc w:val="both"/>
      </w:pPr>
      <w:r>
        <w:t xml:space="preserve">In each case the political narrative was that a minority — ethnic, racial, or foreign — was “hoarding” wealth that rightfully belonged to the majority. In each case the actual economic function of that minority was to operate the tax-visible, formal-sector economy: the part of GDP that governments can actually see and levy. When that stratum leaves, the state does not inherit their wealth. It inherits their absence. Revenue collapses first. Currency collapses second. Inflation follows within twenty-four to thirty-six months. Recovery, if it happens, takes a generation.</w:t>
      </w:r>
    </w:p>
    <w:p>
      <w:pPr>
        <w:pStyle w:val="Heading1"/>
        <w:spacing w:after="160" w:before="320"/>
      </w:pPr>
      <w:r>
        <w:rPr>
          <w:b/>
          <w:bCs/>
          <w:sz w:val="32"/>
          <w:szCs w:val="32"/>
        </w:rPr>
        <w:t xml:space="preserve">3. South Africa's Specific Exposure</w:t>
      </w:r>
    </w:p>
    <w:p>
      <w:pPr>
        <w:spacing w:after="160" w:line="320"/>
        <w:jc w:val="both"/>
      </w:pPr>
      <w:r>
        <w:t xml:space="preserve">South Africa is not Uganda in 1972. It is far more integrated into global capital markets, has a genuinely deep domestic capital market, and possesses institutions — SARB, the JSE, the Constitutional Court — that have so far absorbed enormous political pressure. That is precisely why the collapse, when it arrives, will look different in form but identical in substance.</w:t>
      </w:r>
    </w:p>
    <w:p>
      <w:pPr>
        <w:pStyle w:val="Heading2"/>
        <w:spacing w:after="120" w:before="240"/>
      </w:pPr>
      <w:r>
        <w:rPr>
          <w:b/>
          <w:bCs/>
          <w:sz w:val="26"/>
          <w:szCs w:val="26"/>
        </w:rPr>
        <w:t xml:space="preserve">3.1 The gutting of SARS, 2014–2018</w:t>
      </w:r>
    </w:p>
    <w:p>
      <w:pPr>
        <w:spacing w:after="160" w:line="320"/>
        <w:jc w:val="both"/>
      </w:pPr>
      <w:r>
        <w:t xml:space="preserve">Between 2014 and 2018, under Tom Moyane, SARS lost an estimated 2,000 senior officials, including almost the entire Large Business Centre and the illicit-economy unit. The Nugent Commission put the direct revenue loss at over R100 billion. That capacity has never been fully rebuilt. A modern state runs on the top 1% of its tax officials. South Africa spent the 2010s driving them out, and the 2020s pretending that recruitment ads would replace them.</w:t>
      </w:r>
    </w:p>
    <w:p>
      <w:pPr>
        <w:pStyle w:val="Heading2"/>
        <w:spacing w:after="120" w:before="240"/>
      </w:pPr>
      <w:r>
        <w:rPr>
          <w:b/>
          <w:bCs/>
          <w:sz w:val="26"/>
          <w:szCs w:val="26"/>
        </w:rPr>
        <w:t xml:space="preserve">3.2 Skilled emigration</w:t>
      </w:r>
    </w:p>
    <w:p>
      <w:pPr>
        <w:spacing w:after="160" w:line="320"/>
        <w:jc w:val="both"/>
      </w:pPr>
      <w:r>
        <w:t xml:space="preserve">Between 2015 and 2025, South Africa lost somewhere between 250,000 and 500,000 skilled workers to Australia, the UK, Canada, the UAE and New Zealand. A chartered accountant in Perth is not paying PAYE in Johannesburg. A specialist anaesthetist in Auckland is not staffing a Gauteng public hospital. Each departure is a permanent subtraction from both the revenue side and the service-delivery side of the fiscus.</w:t>
      </w:r>
    </w:p>
    <w:p>
      <w:pPr>
        <w:pStyle w:val="Heading2"/>
        <w:spacing w:after="120" w:before="240"/>
      </w:pPr>
      <w:r>
        <w:rPr>
          <w:b/>
          <w:bCs/>
          <w:sz w:val="26"/>
          <w:szCs w:val="26"/>
        </w:rPr>
        <w:t xml:space="preserve">3.3 Expropriation, BELA, NHI and the signalling problem</w:t>
      </w:r>
    </w:p>
    <w:p>
      <w:pPr>
        <w:spacing w:after="160" w:line="320"/>
        <w:jc w:val="both"/>
      </w:pPr>
      <w:r>
        <w:t xml:space="preserve">The Expropriation Act signed in early 2025, the BELA Act, and the NHI Act are, individually, defensible or at least debatable policy choices. Collectively, and combined with coalition dependence on parties that campaign explicitly on expelling foreign-owned spaza shops and nationalising banks and mines, they send one signal to every capital allocator on earth: property rights in South Africa are now a political variable, not a legal constant. Capital does not need to be seized to leave. It only needs to be credibly threatened.</w:t>
      </w:r>
    </w:p>
    <w:p>
      <w:pPr>
        <w:pStyle w:val="Heading2"/>
        <w:spacing w:after="120" w:before="240"/>
      </w:pPr>
      <w:r>
        <w:rPr>
          <w:b/>
          <w:bCs/>
          <w:sz w:val="26"/>
          <w:szCs w:val="26"/>
        </w:rPr>
        <w:t xml:space="preserve">3.4 The spaza-shop moment</w:t>
      </w:r>
    </w:p>
    <w:p>
      <w:pPr>
        <w:spacing w:after="160" w:line="320"/>
        <w:jc w:val="both"/>
      </w:pPr>
      <w:r>
        <w:t xml:space="preserve">The 2024–2025 campaign against foreign-owned small businesses — largely Somali, Ethiopian, Bangladeshi and Pakistani — is the clearest tell. These are not oligarchs. They are shopkeepers who accepted the risk of operating in townships that South African-owned chains had abandoned, who extended informal credit, and who paid — quietly — municipal fees and VAT on their wholesale purchases. It is Amin's 1972 decree, executed by mob and by by-law rather than by gazette, and it will produce the same second-order effects.</w:t>
      </w:r>
    </w:p>
    <w:p>
      <w:pPr>
        <w:pStyle w:val="Heading1"/>
        <w:spacing w:after="160" w:before="320"/>
      </w:pPr>
      <w:r>
        <w:rPr>
          <w:b/>
          <w:bCs/>
          <w:sz w:val="32"/>
          <w:szCs w:val="32"/>
        </w:rPr>
        <w:t xml:space="preserve">4. Order-of-Magnitude Estimates, 2026–2029</w:t>
      </w:r>
    </w:p>
    <w:p>
      <w:pPr>
        <w:spacing w:after="160" w:line="320"/>
        <w:jc w:val="both"/>
      </w:pPr>
      <w:r>
        <w:t xml:space="preserve">The figures below are guesstimates, benchmarked against the Ugandan, Zimbabwean and Venezuelan precedents and scaled for South Africa's larger, more diversified and more financialised economy. They are offered not as forecasts but as the shape of the plausible downside.</w:t>
      </w:r>
    </w:p>
    <w:p>
      <w:pPr>
        <w:pStyle w:val="Heading2"/>
        <w:spacing w:after="120" w:before="240"/>
      </w:pPr>
      <w:r>
        <w:rPr>
          <w:b/>
          <w:bCs/>
          <w:sz w:val="26"/>
          <w:szCs w:val="26"/>
        </w:rPr>
        <w:t xml:space="preserve">The rand</w:t>
      </w:r>
    </w:p>
    <w:p>
      <w:pPr>
        <w:pStyle w:val="ListParagraph"/>
        <w:numPr>
          <w:ilvl w:val="0"/>
          <w:numId w:val="2"/>
        </w:numPr>
        <w:spacing w:after="100"/>
      </w:pPr>
      <w:r>
        <w:t xml:space="preserve">End-2025 baseline: ~R18.50 / USD</w:t>
      </w:r>
    </w:p>
    <w:p>
      <w:pPr>
        <w:pStyle w:val="ListParagraph"/>
        <w:numPr>
          <w:ilvl w:val="0"/>
          <w:numId w:val="2"/>
        </w:numPr>
        <w:spacing w:after="100"/>
      </w:pPr>
      <w:r>
        <w:t xml:space="preserve">End-2026: R28–R34 / USD (35–45% depreciation)</w:t>
      </w:r>
    </w:p>
    <w:p>
      <w:pPr>
        <w:pStyle w:val="ListParagraph"/>
        <w:numPr>
          <w:ilvl w:val="0"/>
          <w:numId w:val="2"/>
        </w:numPr>
        <w:spacing w:after="100"/>
      </w:pPr>
      <w:r>
        <w:t xml:space="preserve">End-2027: R45–R60 if SARB monetises; R30–R35 with IMF</w:t>
      </w:r>
    </w:p>
    <w:p>
      <w:pPr>
        <w:pStyle w:val="ListParagraph"/>
        <w:numPr>
          <w:ilvl w:val="0"/>
          <w:numId w:val="2"/>
        </w:numPr>
        <w:spacing w:after="100"/>
      </w:pPr>
      <w:r>
        <w:t xml:space="preserve">End-2028 downside: R90–R150, informal dollarisation</w:t>
      </w:r>
    </w:p>
    <w:p>
      <w:pPr>
        <w:pStyle w:val="Heading2"/>
        <w:spacing w:after="120" w:before="240"/>
      </w:pPr>
      <w:r>
        <w:rPr>
          <w:b/>
          <w:bCs/>
          <w:sz w:val="26"/>
          <w:szCs w:val="26"/>
        </w:rPr>
        <w:t xml:space="preserve">Inflation</w:t>
      </w:r>
    </w:p>
    <w:p>
      <w:pPr>
        <w:pStyle w:val="ListParagraph"/>
        <w:numPr>
          <w:ilvl w:val="0"/>
          <w:numId w:val="2"/>
        </w:numPr>
        <w:spacing w:after="100"/>
      </w:pPr>
      <w:r>
        <w:t xml:space="preserve">2026: CPI 12–18%, food 20–30%</w:t>
      </w:r>
    </w:p>
    <w:p>
      <w:pPr>
        <w:pStyle w:val="ListParagraph"/>
        <w:numPr>
          <w:ilvl w:val="0"/>
          <w:numId w:val="2"/>
        </w:numPr>
        <w:spacing w:after="100"/>
      </w:pPr>
      <w:r>
        <w:t xml:space="preserve">2027: CPI 25–50%, food 40–80%</w:t>
      </w:r>
    </w:p>
    <w:p>
      <w:pPr>
        <w:pStyle w:val="ListParagraph"/>
        <w:numPr>
          <w:ilvl w:val="0"/>
          <w:numId w:val="2"/>
        </w:numPr>
        <w:spacing w:after="100"/>
      </w:pPr>
      <w:r>
        <w:t xml:space="preserve">2028 downside: 100–400% annual</w:t>
      </w:r>
    </w:p>
    <w:p>
      <w:pPr>
        <w:pStyle w:val="ListParagraph"/>
        <w:numPr>
          <w:ilvl w:val="0"/>
          <w:numId w:val="2"/>
        </w:numPr>
        <w:spacing w:after="100"/>
      </w:pPr>
      <w:r>
        <w:t xml:space="preserve">Cagan hyperinflation (&gt;50%/month) possible but not base case</w:t>
      </w:r>
    </w:p>
    <w:p>
      <w:pPr>
        <w:pStyle w:val="Heading2"/>
        <w:spacing w:after="120" w:before="240"/>
      </w:pPr>
      <w:r>
        <w:rPr>
          <w:b/>
          <w:bCs/>
          <w:sz w:val="26"/>
          <w:szCs w:val="26"/>
        </w:rPr>
        <w:t xml:space="preserve">GDP and jobs</w:t>
      </w:r>
    </w:p>
    <w:p>
      <w:pPr>
        <w:pStyle w:val="ListParagraph"/>
        <w:numPr>
          <w:ilvl w:val="0"/>
          <w:numId w:val="2"/>
        </w:numPr>
        <w:spacing w:after="100"/>
      </w:pPr>
      <w:r>
        <w:t xml:space="preserve">Cumulative real GDP: −8% to −15% over 2026–2028</w:t>
      </w:r>
    </w:p>
    <w:p>
      <w:pPr>
        <w:pStyle w:val="ListParagraph"/>
        <w:numPr>
          <w:ilvl w:val="0"/>
          <w:numId w:val="2"/>
        </w:numPr>
        <w:spacing w:after="100"/>
      </w:pPr>
      <w:r>
        <w:t xml:space="preserve">Official unemployment: 40–48% by 2028</w:t>
      </w:r>
    </w:p>
    <w:p>
      <w:pPr>
        <w:pStyle w:val="ListParagraph"/>
        <w:numPr>
          <w:ilvl w:val="0"/>
          <w:numId w:val="2"/>
        </w:numPr>
        <w:spacing w:after="100"/>
      </w:pPr>
      <w:r>
        <w:t xml:space="preserve">Youth unemployment: &gt;70%</w:t>
      </w:r>
    </w:p>
    <w:p>
      <w:pPr>
        <w:pStyle w:val="ListParagraph"/>
        <w:numPr>
          <w:ilvl w:val="0"/>
          <w:numId w:val="2"/>
        </w:numPr>
        <w:spacing w:after="100"/>
      </w:pPr>
      <w:r>
        <w:t xml:space="preserve">Formal jobs lost: 1.5–2.5 million</w:t>
      </w:r>
    </w:p>
    <w:p>
      <w:pPr>
        <w:pStyle w:val="Heading2"/>
        <w:spacing w:after="120" w:before="240"/>
      </w:pPr>
      <w:r>
        <w:rPr>
          <w:b/>
          <w:bCs/>
          <w:sz w:val="26"/>
          <w:szCs w:val="26"/>
        </w:rPr>
        <w:t xml:space="preserve">Fiscal</w:t>
      </w:r>
    </w:p>
    <w:p>
      <w:pPr>
        <w:pStyle w:val="ListParagraph"/>
        <w:numPr>
          <w:ilvl w:val="0"/>
          <w:numId w:val="2"/>
        </w:numPr>
        <w:spacing w:after="100"/>
      </w:pPr>
      <w:r>
        <w:t xml:space="preserve">Debt/GDP: 76% → 105–125% by 2028</w:t>
      </w:r>
    </w:p>
    <w:p>
      <w:pPr>
        <w:pStyle w:val="ListParagraph"/>
        <w:numPr>
          <w:ilvl w:val="0"/>
          <w:numId w:val="2"/>
        </w:numPr>
        <w:spacing w:after="100"/>
      </w:pPr>
      <w:r>
        <w:t xml:space="preserve">Further sovereign downgrades; SOE selective default plausible</w:t>
      </w:r>
    </w:p>
    <w:p>
      <w:pPr>
        <w:pStyle w:val="ListParagraph"/>
        <w:numPr>
          <w:ilvl w:val="0"/>
          <w:numId w:val="2"/>
        </w:numPr>
        <w:spacing w:after="100"/>
      </w:pPr>
      <w:r>
        <w:t xml:space="preserve">Tax revenue: 15–25% real decline</w:t>
      </w:r>
    </w:p>
    <w:p>
      <w:pPr>
        <w:pStyle w:val="ListParagraph"/>
        <w:numPr>
          <w:ilvl w:val="0"/>
          <w:numId w:val="2"/>
        </w:numPr>
        <w:spacing w:after="100"/>
      </w:pPr>
      <w:r>
        <w:t xml:space="preserve">Rand-denominated debt is the one great advantage</w:t>
      </w:r>
    </w:p>
    <w:p>
      <w:pPr>
        <w:pStyle w:val="Heading2"/>
        <w:spacing w:after="120" w:before="240"/>
      </w:pPr>
      <w:r>
        <w:rPr>
          <w:b/>
          <w:bCs/>
          <w:sz w:val="26"/>
          <w:szCs w:val="26"/>
        </w:rPr>
        <w:t xml:space="preserve">Comparative collapses</w:t>
      </w:r>
    </w:p>
    <w:p>
      <w:pPr>
        <w:pStyle w:val="ListParagraph"/>
        <w:numPr>
          <w:ilvl w:val="0"/>
          <w:numId w:val="2"/>
        </w:numPr>
        <w:spacing w:after="100"/>
      </w:pPr>
      <w:r>
        <w:t xml:space="preserve">Uganda 1972–1980: GDP −25%, inflation ~200%, currency effectively worthless.</w:t>
      </w:r>
    </w:p>
    <w:p>
      <w:pPr>
        <w:pStyle w:val="ListParagraph"/>
        <w:numPr>
          <w:ilvl w:val="0"/>
          <w:numId w:val="2"/>
        </w:numPr>
        <w:spacing w:after="100"/>
      </w:pPr>
      <w:r>
        <w:t xml:space="preserve">Zimbabwe 2000–2008: GDP −45%, inflation 89.7 sextillion %, currency abandoned.</w:t>
      </w:r>
    </w:p>
    <w:p>
      <w:pPr>
        <w:pStyle w:val="ListParagraph"/>
        <w:numPr>
          <w:ilvl w:val="0"/>
          <w:numId w:val="2"/>
        </w:numPr>
        <w:spacing w:after="100"/>
      </w:pPr>
      <w:r>
        <w:t xml:space="preserve">Venezuela 2013–2021: GDP −75%, inflation ~350,000%, dollarised informally.</w:t>
      </w:r>
    </w:p>
    <w:p>
      <w:pPr>
        <w:pStyle w:val="ListParagraph"/>
        <w:numPr>
          <w:ilvl w:val="0"/>
          <w:numId w:val="2"/>
        </w:numPr>
        <w:spacing w:after="100"/>
      </w:pPr>
      <w:r>
        <w:t xml:space="preserve">South Africa 2026–2029 (projected downside): GDP −8 to −15%, inflation peak 50–300%, currency severely depreciated but not abandoned — provided SARB independence survives.</w:t>
      </w:r>
    </w:p>
    <w:p>
      <w:pPr>
        <w:pStyle w:val="Heading1"/>
        <w:spacing w:after="160" w:before="320"/>
      </w:pPr>
      <w:r>
        <w:rPr>
          <w:b/>
          <w:bCs/>
          <w:sz w:val="32"/>
          <w:szCs w:val="32"/>
        </w:rPr>
        <w:t xml:space="preserve">5. What Recovery Actually Requires</w:t>
      </w:r>
    </w:p>
    <w:p>
      <w:pPr>
        <w:pStyle w:val="ListParagraph"/>
        <w:numPr>
          <w:ilvl w:val="0"/>
          <w:numId w:val="2"/>
        </w:numPr>
        <w:spacing w:after="100"/>
      </w:pPr>
      <w:r>
        <w:t xml:space="preserve">A credible, public repudiation of expropriation as a policy tool — not merely a legal amendment, but a political burial.</w:t>
      </w:r>
    </w:p>
    <w:p>
      <w:pPr>
        <w:pStyle w:val="ListParagraph"/>
        <w:numPr>
          <w:ilvl w:val="0"/>
          <w:numId w:val="2"/>
        </w:numPr>
        <w:spacing w:after="100"/>
      </w:pPr>
      <w:r>
        <w:t xml:space="preserve">Restoration of SARS as a technocratic institution insulated from Cabinet, with 5–10 year salary premia to repatriate the officials driven out in 2014–2018.</w:t>
      </w:r>
    </w:p>
    <w:p>
      <w:pPr>
        <w:pStyle w:val="ListParagraph"/>
        <w:numPr>
          <w:ilvl w:val="0"/>
          <w:numId w:val="2"/>
        </w:numPr>
        <w:spacing w:after="100"/>
      </w:pPr>
      <w:r>
        <w:t xml:space="preserve">An amnesty and re-registration programme for foreign-owned small businesses, treated as tax assets rather than political liabilities.</w:t>
      </w:r>
    </w:p>
    <w:p>
      <w:pPr>
        <w:pStyle w:val="ListParagraph"/>
        <w:numPr>
          <w:ilvl w:val="0"/>
          <w:numId w:val="2"/>
        </w:numPr>
        <w:spacing w:after="100"/>
      </w:pPr>
      <w:r>
        <w:t xml:space="preserve">An IMF or BRICS-Bank programme sized at USD 30–50 billion, conditional on SOE restructuring — politically toxic, but the alternative is Zimbabwe 2008.</w:t>
      </w:r>
    </w:p>
    <w:p>
      <w:pPr>
        <w:pStyle w:val="ListParagraph"/>
        <w:numPr>
          <w:ilvl w:val="0"/>
          <w:numId w:val="2"/>
        </w:numPr>
        <w:spacing w:after="100"/>
      </w:pPr>
      <w:r>
        <w:t xml:space="preserve">Independent central bank preserved by constitutional entrenchment, not merely by statute.</w:t>
      </w:r>
    </w:p>
    <w:p>
      <w:pPr>
        <w:pStyle w:val="ListParagraph"/>
        <w:numPr>
          <w:ilvl w:val="0"/>
          <w:numId w:val="2"/>
        </w:numPr>
        <w:spacing w:after="100"/>
      </w:pPr>
      <w:r>
        <w:t xml:space="preserve">A visible, funded skills-return programme aimed at the 500,000 emigrants of the last decade — tax holidays and dollar-denominated public-sector contracts, not appeals to patriotism.</w:t>
      </w:r>
    </w:p>
    <w:p>
      <w:pPr>
        <w:spacing w:after="160" w:line="320"/>
        <w:jc w:val="both"/>
      </w:pPr>
      <w:r>
        <w:t xml:space="preserve">None of this is technically difficult. All of it is politically almost impossible under the current coalition arithmetic, which is why the base case for 2026–2028 is deterioration rather than reform.</w:t>
      </w:r>
    </w:p>
    <w:p>
      <w:pPr>
        <w:pStyle w:val="Heading1"/>
        <w:spacing w:after="160" w:before="320"/>
      </w:pPr>
      <w:r>
        <w:rPr>
          <w:b/>
          <w:bCs/>
          <w:sz w:val="32"/>
          <w:szCs w:val="32"/>
        </w:rPr>
        <w:t xml:space="preserve">6. Conclusion</w:t>
      </w:r>
    </w:p>
    <w:p>
      <w:pPr>
        <w:spacing w:after="160" w:line="320"/>
        <w:jc w:val="both"/>
      </w:pPr>
      <w:r>
        <w:t xml:space="preserve">South Africa in 2026 is not being sabotaged by outsiders, sanctioned by the West, or victimised by a global downturn. It is doing to itself, in slow motion and with better vocabulary, exactly what Uganda did to itself in 1972 and what Zimbabwe did to itself in 2000: it is driving out the people who operate the tax-visible economy, and it is telling itself a story about justice while it does so.</w:t>
      </w:r>
    </w:p>
    <w:p>
      <w:pPr>
        <w:spacing w:after="160" w:line="320"/>
        <w:jc w:val="both"/>
      </w:pPr>
      <w:r>
        <w:t xml:space="preserve">The rand will tell us first. Then the inflation print. Then the queues at the fuel stations. Then, if the pattern completes, the queues at the borders. The precedents are clear, the arithmetic is unforgiving, and the eighteen-month window in which reform is still cheaper than collapse is already half-closed. This paper will, one hopes, age badly. The African pattern suggests it will not.</w:t>
      </w:r>
    </w:p>
    <w:p>
      <w:pPr>
        <w:spacing w:before="400"/>
      </w:pPr>
      <w:r>
        <w:rPr>
          <w:i/>
          <w:iCs/>
          <w:color w:val="666666"/>
          <w:sz w:val="18"/>
          <w:szCs w:val="18"/>
        </w:rPr>
        <w:t xml:space="preserve">All 2026–2029 figures are the author's own order-of-magnitude estimates, benchmarked against IMF WEO historical data for Uganda (1972–1985), Zimbabwe (2000–2009) and Venezuela (2013–2021), and against Bloomberg and SARB data for the 2001, 2015 and 2020 rand shocks. Any errors of judgement, and every polemical passage, are the author's alone.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Self-Inflicted Wound — South Africa 2026</dc:title>
  <dc:creator>Simon Mowatt</dc:creator>
  <cp:lastModifiedBy>Un-named</cp:lastModifiedBy>
  <cp:revision>1</cp:revision>
  <dcterms:created xsi:type="dcterms:W3CDTF">2026-07-16T08:00:10.076Z</dcterms:created>
  <dcterms:modified xsi:type="dcterms:W3CDTF">2026-07-16T08:00:10.076Z</dcterms:modified>
</cp:coreProperties>
</file>

<file path=docProps/custom.xml><?xml version="1.0" encoding="utf-8"?>
<Properties xmlns="http://schemas.openxmlformats.org/officeDocument/2006/custom-properties" xmlns:vt="http://schemas.openxmlformats.org/officeDocument/2006/docPropsVTypes"/>
</file>